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ascii="宋体" w:hAnsi="宋体" w:eastAsia="方正小标宋简体" w:cs="Times New Roman"/>
          <w:color w:val="000000"/>
          <w:sz w:val="44"/>
          <w:szCs w:val="44"/>
        </w:rPr>
      </w:pPr>
      <w:bookmarkStart w:id="0" w:name="_Hlk16285937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ascii="宋体" w:hAnsi="宋体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宋体" w:hAnsi="宋体" w:eastAsia="方正小标宋简体" w:cs="Times New Roman"/>
          <w:color w:val="000000"/>
          <w:sz w:val="44"/>
          <w:szCs w:val="44"/>
        </w:rPr>
      </w:pPr>
      <w:bookmarkStart w:id="1" w:name="_Hlk162861457"/>
      <w:r>
        <w:rPr>
          <w:rFonts w:hint="eastAsia" w:ascii="宋体" w:hAnsi="宋体" w:eastAsia="方正小标宋简体" w:cs="Times New Roman"/>
          <w:color w:val="000000"/>
          <w:sz w:val="44"/>
          <w:szCs w:val="44"/>
        </w:rPr>
        <w:t>广东1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∶</w:t>
      </w:r>
      <w:r>
        <w:rPr>
          <w:rFonts w:hint="eastAsia" w:ascii="宋体" w:hAnsi="宋体" w:eastAsia="方正小标宋简体" w:cs="Times New Roman"/>
          <w:color w:val="000000"/>
          <w:sz w:val="44"/>
          <w:szCs w:val="44"/>
        </w:rPr>
        <w:t>5万蓝田圩、横石幅区域地质调查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宋体" w:hAnsi="宋体" w:eastAsia="方正小标宋简体" w:cs="Times New Roman"/>
          <w:color w:val="000000"/>
          <w:sz w:val="44"/>
          <w:szCs w:val="44"/>
        </w:rPr>
      </w:pPr>
      <w:r>
        <w:rPr>
          <w:rFonts w:ascii="宋体" w:hAnsi="宋体" w:eastAsia="方正小标宋简体" w:cs="Times New Roman"/>
          <w:color w:val="000000"/>
          <w:sz w:val="44"/>
          <w:szCs w:val="44"/>
        </w:rPr>
        <w:t>202</w:t>
      </w:r>
      <w:r>
        <w:rPr>
          <w:rFonts w:hint="eastAsia" w:ascii="宋体" w:hAnsi="宋体" w:eastAsia="方正小标宋简体" w:cs="Times New Roman"/>
          <w:color w:val="000000"/>
          <w:sz w:val="44"/>
          <w:szCs w:val="44"/>
        </w:rPr>
        <w:t>4年度岩矿测试与专题研究</w:t>
      </w:r>
      <w:bookmarkEnd w:id="0"/>
      <w:r>
        <w:rPr>
          <w:rFonts w:hint="eastAsia" w:ascii="宋体" w:hAnsi="宋体" w:eastAsia="方正小标宋简体" w:cs="Times New Roman"/>
          <w:color w:val="000000"/>
          <w:sz w:val="44"/>
          <w:szCs w:val="44"/>
        </w:rPr>
        <w:t>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ascii="宋体" w:hAnsi="宋体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sz w:val="32"/>
          <w:szCs w:val="32"/>
        </w:rPr>
        <w:t>因开展广东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1∶5万蓝田圩、横石幅区域地质调查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项目工作需要，拟对202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4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年度岩矿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测试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与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专题研究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面向社会进行招标采购，欢迎符合资格条件的供应商参加投标。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一、采购项目基本情况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（一）名称及编号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sz w:val="32"/>
          <w:szCs w:val="32"/>
        </w:rPr>
        <w:t>1.采购项目名称：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广东1∶5万蓝田圩、横</w:t>
      </w:r>
      <w:bookmarkStart w:id="2" w:name="_GoBack"/>
      <w:bookmarkEnd w:id="2"/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石幅区域地质调查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202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4年度岩矿测试与专题研究。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研究专题名称：广东蓝田圩-横石地区岩石地球化学特征及构造背景研究。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sz w:val="32"/>
          <w:szCs w:val="32"/>
        </w:rPr>
        <w:t>2.采购项目编号：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G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DDZ2024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-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01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（二）项目需求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sz w:val="32"/>
          <w:szCs w:val="32"/>
        </w:rPr>
        <w:t>1.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采购任务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/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工作量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项目在广东省1∶5万蓝田圩、横石幅区域开展工作。根据区域地质调查工作需要，开展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202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4年度岩矿测试与专题研究工作，并编制专题实施方案，主要工作内容如下：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1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）样品加工（200目）100件；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2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）薄片制作300件；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3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）薄片鉴定（复杂）300件；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（4）光片制作和鉴定（复杂）</w:t>
      </w:r>
      <w:r>
        <w:rPr>
          <w:rFonts w:ascii="宋体" w:hAnsi="宋体" w:eastAsia="仿宋_GB2312" w:cs="Times New Roman"/>
          <w:color w:val="000000"/>
          <w:sz w:val="32"/>
          <w:szCs w:val="32"/>
        </w:rPr>
        <w:t xml:space="preserve">5 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（5）人工重砂（详细鉴定）4件；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（6）大化石古生物鉴定5件；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（7）微体古生物鉴定10件；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（8）硅酸盐分析13项（主量元素）62件；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（9）微量元素分析（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Au、Ag、As、Sb、Hg、Cu、Pb、Zn、W、Sn、Bi、Mo、Ni、Co、V、Li、Be、Rb、Cs、Nb、Ta、Cr、Th、In、Sr、Zr、U、Hf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、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Ga、Sc、Ba）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62件；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（10）稀土元素（15项）62件；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（11）化学分析（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Cu、Pb、Zn、Au、Ag、As、Sb、Mo、Sn、W、Bi）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30件；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（12）化学分析（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Li、Nb、Ta）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50件；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（13）锆石分选、制靶及照相22件；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（14）锆石U-Pb分析1100个点；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（15）锆石Lu-Hf同位素分析900个点；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（16）锆石数据处理及作图2000个点；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（17）Sr-Nd同位素比值测试45件。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sz w:val="32"/>
          <w:szCs w:val="32"/>
        </w:rPr>
        <w:t>2.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质量要求（技术要求）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项目的技术指标、质量要求执行国家或行业标准，包括但不限于：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1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）《地质矿产实验室测试质量管理规范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(DZ/T 0130-2006)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2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）其他有关规程规范、行业标准。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sz w:val="32"/>
          <w:szCs w:val="32"/>
        </w:rPr>
        <w:t>3.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进度要求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收到样品后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1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2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0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天内完成。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ascii="宋体" w:hAnsi="宋体" w:eastAsia="仿宋_GB2312" w:cs="Times New Roman"/>
          <w:color w:val="000000"/>
          <w:sz w:val="32"/>
          <w:szCs w:val="32"/>
        </w:rPr>
        <w:t>4.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提交成果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（1）岩矿测试分析报告及质量报告。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（2）专题研究报告1份，总结研究区花岗岩的成因和构造演化过程、沉积地层的沉积物源和大地构造演化过程。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上述资料电子版一套</w:t>
      </w:r>
      <w:r>
        <w:rPr>
          <w:rFonts w:hint="eastAsia" w:ascii="宋体" w:hAnsi="宋体" w:eastAsia="仿宋_GB2312" w:cs="Times New Roman"/>
          <w:sz w:val="32"/>
          <w:szCs w:val="32"/>
        </w:rPr>
        <w:t>和纸质版四套。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二、采购方式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综合比选。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三、采购预算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总预算为不超过50万元。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四、供应商资格要求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（一）具有独立承担民事责任的能力；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（二）具有良好的商业信誉和健全的财务会计制度；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（三）具有履行合同所必需的实验测试和地质研究人员团队；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（四）具有完成本项目相关测试所必需的仪器设备和专业技术能力；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（五）有依法缴纳税收和社会保障资金的良好记录；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（六）参加采购活动前三年内，在经营活动中没有重大违法记录；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（七）不接受联合体投标；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（八）法律、行政法规规定的其他条件。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五、投标文件要求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（一）单位营业执照或事业单位法人证（复印件并加盖公章）；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（二）相关业绩证明；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（三）报价单；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（四）资料真实性承诺书。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六、比选标准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比选标准见后附综合比选参考标准。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七、报名要求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（一）报名时间：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202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4年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4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8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日至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202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4年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4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月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10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（二）报名方式：以邮件方式报名，后附报名表。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八、投标文件送达截止时间及地点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（一）投标文件提交截止时间：</w:t>
      </w:r>
      <w:r>
        <w:rPr>
          <w:rFonts w:hint="eastAsia" w:ascii="宋体" w:hAnsi="宋体" w:eastAsia="仿宋_GB2312" w:cs="Times New Roman"/>
          <w:sz w:val="32"/>
          <w:szCs w:val="32"/>
        </w:rPr>
        <w:t>2</w:t>
      </w:r>
      <w:r>
        <w:rPr>
          <w:rFonts w:ascii="宋体" w:hAnsi="宋体" w:eastAsia="仿宋_GB2312" w:cs="Times New Roman"/>
          <w:sz w:val="32"/>
          <w:szCs w:val="32"/>
        </w:rPr>
        <w:t>024</w:t>
      </w:r>
      <w:r>
        <w:rPr>
          <w:rFonts w:hint="eastAsia" w:ascii="宋体" w:hAnsi="宋体" w:eastAsia="仿宋_GB2312" w:cs="Times New Roman"/>
          <w:sz w:val="32"/>
          <w:szCs w:val="32"/>
        </w:rPr>
        <w:t>年4月1</w:t>
      </w:r>
      <w:r>
        <w:rPr>
          <w:rFonts w:ascii="宋体" w:hAnsi="宋体" w:eastAsia="仿宋_GB2312" w:cs="Times New Roman"/>
          <w:sz w:val="32"/>
          <w:szCs w:val="32"/>
        </w:rPr>
        <w:t>5</w:t>
      </w:r>
      <w:r>
        <w:rPr>
          <w:rFonts w:hint="eastAsia" w:ascii="宋体" w:hAnsi="宋体" w:eastAsia="仿宋_GB2312" w:cs="Times New Roman"/>
          <w:sz w:val="32"/>
          <w:szCs w:val="32"/>
        </w:rPr>
        <w:t>日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（以寄出时间为准）。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（二）投标文件可邮寄但必须密封件并加盖公章。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（三）地点：广东省汕头市金平区护堤路3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0</w:t>
      </w: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（四）时间：开标时间另行通知。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九、其他说明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（一）在投标文件截止日后，由我队采购小组进行评标（需要投标单位参与现场开标的另行通知），中标结果请关注我队网站的中标公告。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（二）对采购需求有不明之处可邮件或电话咨询。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eastAsia="黑体" w:cs="Times New Roman"/>
          <w:color w:val="000000"/>
          <w:sz w:val="32"/>
          <w:szCs w:val="32"/>
        </w:rPr>
        <w:t>十、联系事项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联系人：吴泽彬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邮箱：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"mailto:489649824@qq.com" </w:instrText>
      </w:r>
      <w:r>
        <w:rPr>
          <w:rFonts w:ascii="宋体" w:hAnsi="宋体"/>
        </w:rPr>
        <w:fldChar w:fldCharType="separate"/>
      </w:r>
      <w:r>
        <w:rPr>
          <w:rStyle w:val="10"/>
          <w:rFonts w:ascii="宋体" w:hAnsi="宋体" w:eastAsia="仿宋_GB2312" w:cs="Times New Roman"/>
          <w:sz w:val="32"/>
          <w:szCs w:val="32"/>
        </w:rPr>
        <w:t>489649824@qq.com</w:t>
      </w:r>
      <w:r>
        <w:rPr>
          <w:rStyle w:val="10"/>
          <w:rFonts w:ascii="宋体" w:hAnsi="宋体" w:eastAsia="仿宋_GB2312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传真：0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754-88209296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Times New Roman"/>
          <w:color w:val="000000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宋体" w:hAnsi="宋体" w:eastAsia="仿宋_GB2312" w:cs="Times New Roman"/>
          <w:color w:val="000000"/>
          <w:sz w:val="32"/>
          <w:szCs w:val="32"/>
        </w:rPr>
        <w:t>联系电话：1</w:t>
      </w:r>
      <w:r>
        <w:rPr>
          <w:rFonts w:ascii="宋体" w:hAnsi="宋体" w:eastAsia="仿宋_GB2312" w:cs="Times New Roman"/>
          <w:color w:val="000000"/>
          <w:sz w:val="32"/>
          <w:szCs w:val="32"/>
        </w:rPr>
        <w:t>3433340720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beforeLines="50" w:after="120" w:afterLines="50" w:line="560" w:lineRule="exact"/>
        <w:jc w:val="center"/>
        <w:textAlignment w:val="auto"/>
        <w:rPr>
          <w:rFonts w:ascii="宋体" w:hAnsi="宋体" w:eastAsia="仿宋_GB2312" w:cs="仿宋"/>
          <w:b/>
          <w:bCs/>
          <w:kern w:val="0"/>
          <w:sz w:val="36"/>
          <w:szCs w:val="36"/>
        </w:rPr>
      </w:pPr>
      <w:r>
        <w:rPr>
          <w:rFonts w:hint="eastAsia" w:ascii="宋体" w:hAnsi="宋体" w:eastAsia="仿宋_GB2312" w:cs="仿宋"/>
          <w:b/>
          <w:bCs/>
          <w:kern w:val="0"/>
          <w:sz w:val="36"/>
          <w:szCs w:val="36"/>
        </w:rPr>
        <w:t>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59"/>
        <w:gridCol w:w="1554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"/>
                <w:kern w:val="0"/>
                <w:sz w:val="28"/>
                <w:szCs w:val="28"/>
              </w:rPr>
              <w:t>投标单位</w:t>
            </w:r>
          </w:p>
        </w:tc>
        <w:tc>
          <w:tcPr>
            <w:tcW w:w="7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hAnsi="宋体" w:eastAsia="仿宋" w:cs="仿宋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hAnsi="宋体" w:eastAsia="仿宋" w:cs="仿宋"/>
          <w:kern w:val="0"/>
          <w:szCs w:val="21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beforeLines="50" w:after="120" w:afterLines="50" w:line="560" w:lineRule="exact"/>
        <w:jc w:val="center"/>
        <w:textAlignment w:val="auto"/>
        <w:rPr>
          <w:rFonts w:ascii="宋体" w:hAnsi="宋体" w:eastAsia="仿宋_GB2312" w:cs="仿宋"/>
          <w:b/>
          <w:bCs/>
          <w:kern w:val="0"/>
          <w:sz w:val="30"/>
          <w:szCs w:val="30"/>
        </w:rPr>
      </w:pPr>
      <w:r>
        <w:rPr>
          <w:rFonts w:hint="eastAsia" w:ascii="宋体" w:hAnsi="宋体" w:eastAsia="仿宋_GB2312" w:cs="仿宋"/>
          <w:b/>
          <w:bCs/>
          <w:kern w:val="0"/>
          <w:sz w:val="30"/>
          <w:szCs w:val="30"/>
        </w:rPr>
        <w:t>综合比选参考标准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4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评审因素</w:t>
            </w:r>
          </w:p>
        </w:tc>
        <w:tc>
          <w:tcPr>
            <w:tcW w:w="7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比选标准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符合性审查</w:t>
            </w:r>
          </w:p>
        </w:tc>
        <w:tc>
          <w:tcPr>
            <w:tcW w:w="7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1.是否满足采购公告中的供应商资格要求；2.采购报名后是否提交了投标文件；3.投标报价是否超过采购金额的。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符合性审查中凡有其中任意一项未通过的，按无效投标处理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经营范围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10分</w:t>
            </w:r>
          </w:p>
        </w:tc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提供单位营业执照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或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事业单位法人证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、C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MA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证书或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资质证书中有关经营范围是否与采购事项相关。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人员素质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15分</w:t>
            </w:r>
          </w:p>
        </w:tc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根据项目分析测试和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专题研究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需求评估投入团队是否满足采购要求：1.具有实验测试正高级职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人及以上得5分，具有实验测试正高级职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人得2分，没有实验测试正高级职人员不得分，本小项最高得分为5分；2.具有实验测试高级职称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人及以上得5分，具有实验测试高级职称3人得3分，具有实验测试高级职称1人及以上得1分，没有不得分，小项最高得分为5分；3.具有基础地质或矿产地质类高级职称的地质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研究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人员2人及以上得5分，具有基础地质或矿产地质类高级职称的地质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研究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人员1人得2分，没有基础地质或矿产地质类高级职称的地质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研究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人员不得分，本小项最高得5分。本项总计最高得15分。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设备支撑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15分</w:t>
            </w:r>
          </w:p>
        </w:tc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根据分析测试内容提供相关仪器设备证明材料：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具有完善的光薄片制备设备得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分，不具备不得分；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具有常规鉴定的显微镜成像设备得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分，不具备不得分；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具有岩石主量元素、微量元素含量分析的仪器得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分，不具备不得分；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具备LA-ICP-MS锆石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U-Pb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微区定年设备得2分，具有LA-MC-ICP-MS锆石Lu-Hf同位素分析设备得2分，具有全岩Sr-Nd同位素比值分析的大型质谱仪得2分，不具备不得分。本项最高总计得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以往业绩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20分</w:t>
            </w:r>
          </w:p>
        </w:tc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提供的业绩材料数量进行综合对比：1.提供相关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区域地质调查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和研究项目同类测试业绩，每项得4分，本小项最高得分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分；2.提供项目成员主持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区域地质调查项目证明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，每项得4分，本小项最高得分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分。3.提供项目成员主持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国家级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科研项目证明，每项得4分，本小项最高得分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分。本项最高总计得分20分。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实施方案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30分</w:t>
            </w:r>
          </w:p>
        </w:tc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根据提供的实施方案内容：1.工作区地质背景，熟悉得6分，较为熟悉得3分，一般熟悉得1分；2.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研究目的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，目的明确得6分，目的较为明确得3分，目的不明确得1分；3.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研究内容和研究方法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合理得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6分，较为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合理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得3分，一般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合理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得1分；4.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可行性，可行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性高得6分，较高得3分，不高得1分；5.预期成果，针对性强得6分，针对性较强的3分，针对性一般得1分。本项最高总计得分30分。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投标报价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仿宋_GB2312" w:cs="Times New Roman"/>
                <w:kern w:val="0"/>
                <w:szCs w:val="21"/>
              </w:rPr>
            </w:pPr>
            <w:r>
              <w:rPr>
                <w:rFonts w:ascii="宋体" w:hAnsi="宋体" w:eastAsia="仿宋_GB2312" w:cs="Times New Roman"/>
                <w:kern w:val="0"/>
                <w:szCs w:val="21"/>
              </w:rPr>
              <w:t>10分</w:t>
            </w:r>
          </w:p>
        </w:tc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价格分应当采用低价优先法计算，即满足招标文件要求且投标价格最低的投标报价为评标基准价，其价格分为满分。其他投标人的价格分统一按照下列公式计算：投标报价得分=(评标基准价／投标报价)×分值。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hAnsi="宋体" w:eastAsia="仿宋" w:cs="仿宋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宋体" w:hAnsi="宋体" w:eastAsia="仿宋" w:cs="仿宋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ascii="宋体" w:hAnsi="宋体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NDNkMzYxYWZhYTA5NTJhMDFkOTI2ZGRkYTRiZTAifQ=="/>
  </w:docVars>
  <w:rsids>
    <w:rsidRoot w:val="00336C47"/>
    <w:rsid w:val="000201C0"/>
    <w:rsid w:val="00084673"/>
    <w:rsid w:val="001254AC"/>
    <w:rsid w:val="001A60CA"/>
    <w:rsid w:val="00250EC0"/>
    <w:rsid w:val="002D51B9"/>
    <w:rsid w:val="00336C47"/>
    <w:rsid w:val="004501F2"/>
    <w:rsid w:val="00580BB2"/>
    <w:rsid w:val="00595AB7"/>
    <w:rsid w:val="005D6D4E"/>
    <w:rsid w:val="00614EF1"/>
    <w:rsid w:val="006353D8"/>
    <w:rsid w:val="00684B67"/>
    <w:rsid w:val="00707196"/>
    <w:rsid w:val="008D5E4B"/>
    <w:rsid w:val="00912D6A"/>
    <w:rsid w:val="00955B7F"/>
    <w:rsid w:val="009A072C"/>
    <w:rsid w:val="00A001A9"/>
    <w:rsid w:val="00A03B8F"/>
    <w:rsid w:val="00AB36BB"/>
    <w:rsid w:val="00B630C3"/>
    <w:rsid w:val="00B81567"/>
    <w:rsid w:val="00BB41AC"/>
    <w:rsid w:val="00C16647"/>
    <w:rsid w:val="00C86E34"/>
    <w:rsid w:val="00C927E4"/>
    <w:rsid w:val="00CB51B0"/>
    <w:rsid w:val="00E26B6C"/>
    <w:rsid w:val="00ED2B07"/>
    <w:rsid w:val="00FF6D7F"/>
    <w:rsid w:val="087C5946"/>
    <w:rsid w:val="49881AAE"/>
    <w:rsid w:val="79E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7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424</Words>
  <Characters>2419</Characters>
  <Lines>20</Lines>
  <Paragraphs>5</Paragraphs>
  <TotalTime>257</TotalTime>
  <ScaleCrop>false</ScaleCrop>
  <LinksUpToDate>false</LinksUpToDate>
  <CharactersWithSpaces>2838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2024-04-01T02:15:00Z</dcterms:created>
  <dc:creator>山松 卢</dc:creator>
  <cp:lastModifiedBy>dz2d-o2</cp:lastModifiedBy>
  <cp:lastPrinted>2024-04-03T01:17:00Z</cp:lastPrinted>
  <dcterms:modified xsi:type="dcterms:W3CDTF">2024-04-08T08:06:17Z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3784B7E2DFC8419184C269CDAB2846B0_12</vt:lpwstr>
  </property>
</Properties>
</file>